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</w:r>
    </w:p>
    <w:p>
      <w:pPr>
        <w:sectPr>
          <w:type w:val="nextPage"/>
          <w:pgSz w:w="11906" w:h="16838"/>
          <w:pgMar w:left="1134" w:right="1134" w:header="0" w:top="1134" w:footer="0" w:bottom="1134" w:gutter="0"/>
          <w:pgNumType w:fmt="decimal"/>
          <w:formProt w:val="false"/>
          <w:textDirection w:val="lrTb"/>
          <w:docGrid w:type="default" w:linePitch="312" w:charSpace="4294961151"/>
        </w:sectPr>
      </w:pPr>
    </w:p>
    <w:tbl>
      <w:tblPr>
        <w:tblW w:w="9638" w:type="dxa"/>
        <w:jc w:val="left"/>
        <w:tblInd w:w="0" w:type="dxa"/>
        <w:tblBorders/>
        <w:tblCellMar>
          <w:top w:w="0" w:type="dxa"/>
          <w:left w:w="0" w:type="dxa"/>
          <w:bottom w:w="0" w:type="dxa"/>
          <w:right w:w="0" w:type="dxa"/>
        </w:tblCellMar>
      </w:tblPr>
      <w:tblGrid>
        <w:gridCol w:w="5407"/>
        <w:gridCol w:w="4231"/>
      </w:tblGrid>
      <w:tr>
        <w:trPr/>
        <w:tc>
          <w:tcPr>
            <w:tcW w:w="5407" w:type="dxa"/>
            <w:vMerge w:val="restart"/>
            <w:tcBorders/>
            <w:shd w:fill="auto" w:val="clear"/>
            <w:vAlign w:val="center"/>
          </w:tcPr>
          <w:p>
            <w:pPr>
              <w:pStyle w:val="Obsahtabuky"/>
              <w:rPr/>
            </w:pPr>
            <w:r>
              <w:rPr/>
            </w:r>
          </w:p>
          <w:tbl>
            <w:tblPr>
              <w:tblW w:w="5389" w:type="dxa"/>
              <w:jc w:val="left"/>
              <w:tblInd w:w="18" w:type="dxa"/>
              <w:tblBorders/>
              <w:tblCellMar>
                <w:top w:w="28" w:type="dxa"/>
                <w:left w:w="28" w:type="dxa"/>
                <w:bottom w:w="28" w:type="dxa"/>
                <w:right w:w="28" w:type="dxa"/>
              </w:tblCellMar>
            </w:tblPr>
            <w:tblGrid>
              <w:gridCol w:w="1996"/>
              <w:gridCol w:w="3393"/>
            </w:tblGrid>
            <w:tr>
              <w:trPr/>
              <w:tc>
                <w:tcPr>
                  <w:tcW w:w="1996" w:type="dxa"/>
                  <w:tcBorders/>
                  <w:shd w:fill="auto" w:val="clear"/>
                  <w:vAlign w:val="center"/>
                </w:tcPr>
                <w:p>
                  <w:pPr>
                    <w:pStyle w:val="Obsahtabuky"/>
                    <w:bidi w:val="0"/>
                    <w:spacing w:lineRule="auto" w:line="288" w:before="0" w:after="0"/>
                    <w:jc w:val="both"/>
                    <w:rPr>
                      <w:caps w:val="false"/>
                      <w:smallCaps w:val="false"/>
                      <w:strike w:val="false"/>
                      <w:dstrike w:val="false"/>
                      <w:color w:val="000000"/>
                      <w:u w:val="none"/>
                      <w:effect w:val="none"/>
                    </w:rPr>
                  </w:pPr>
                  <w:r>
                    <w:rPr>
                      <w:caps w:val="false"/>
                      <w:smallCaps w:val="false"/>
                      <w:strike w:val="false"/>
                      <w:dstrike w:val="false"/>
                      <w:color w:val="000000"/>
                      <w:u w:val="none"/>
                      <w:effect w:val="none"/>
                    </w:rPr>
                    <w:drawing>
                      <wp:inline distT="0" distB="0" distL="0" distR="0">
                        <wp:extent cx="1028700" cy="1028700"/>
                        <wp:effectExtent l="0" t="0" r="0" b="0"/>
                        <wp:docPr id="1" name="Obrázok1" descr="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Obrázok1" descr="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28700" cy="10287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393" w:type="dxa"/>
                  <w:tcBorders/>
                  <w:shd w:fill="auto" w:val="clear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>
                  <w:pPr>
                    <w:pStyle w:val="Obsahtabuky"/>
                    <w:bidi w:val="0"/>
                    <w:spacing w:lineRule="auto" w:line="288" w:before="0" w:after="0"/>
                    <w:rPr>
                      <w:rFonts w:ascii="Times New Roman;serif" w:hAnsi="Times New Roman;serif"/>
                      <w:b/>
                      <w:i w:val="false"/>
                      <w:caps w:val="false"/>
                      <w:smallCaps w:val="false"/>
                      <w:strike w:val="false"/>
                      <w:dstrike w:val="false"/>
                      <w:color w:val="000000"/>
                      <w:sz w:val="28"/>
                      <w:u w:val="none"/>
                      <w:effect w:val="none"/>
                    </w:rPr>
                  </w:pPr>
                  <w:r>
                    <w:rPr>
                      <w:rFonts w:ascii="Times New Roman;serif" w:hAnsi="Times New Roman;serif"/>
                      <w:b/>
                      <w:i w:val="false"/>
                      <w:caps w:val="false"/>
                      <w:smallCaps w:val="false"/>
                      <w:strike w:val="false"/>
                      <w:dstrike w:val="false"/>
                      <w:color w:val="000000"/>
                      <w:sz w:val="28"/>
                      <w:u w:val="none"/>
                      <w:effect w:val="none"/>
                    </w:rPr>
                    <w:t>Ústav ekológie lesa</w:t>
                  </w:r>
                </w:p>
                <w:p>
                  <w:pPr>
                    <w:pStyle w:val="Obsahtabuky"/>
                    <w:bidi w:val="0"/>
                    <w:spacing w:lineRule="auto" w:line="288" w:before="0" w:after="0"/>
                    <w:rPr>
                      <w:rFonts w:ascii="Times New Roman;serif" w:hAnsi="Times New Roman;serif"/>
                      <w:b/>
                      <w:i w:val="false"/>
                      <w:caps w:val="false"/>
                      <w:smallCaps w:val="false"/>
                      <w:strike w:val="false"/>
                      <w:dstrike w:val="false"/>
                      <w:color w:val="000000"/>
                      <w:sz w:val="24"/>
                      <w:u w:val="none"/>
                      <w:effect w:val="none"/>
                    </w:rPr>
                  </w:pPr>
                  <w:r>
                    <w:rPr>
                      <w:rFonts w:ascii="Times New Roman;serif" w:hAnsi="Times New Roman;serif"/>
                      <w:b/>
                      <w:i w:val="false"/>
                      <w:caps w:val="false"/>
                      <w:smallCaps w:val="false"/>
                      <w:strike w:val="false"/>
                      <w:dstrike w:val="false"/>
                      <w:color w:val="000000"/>
                      <w:sz w:val="24"/>
                      <w:u w:val="none"/>
                      <w:effect w:val="none"/>
                    </w:rPr>
                    <w:t>Slovenskej akadémie vied, </w:t>
                  </w:r>
                </w:p>
                <w:p>
                  <w:pPr>
                    <w:pStyle w:val="Obsahtabuky"/>
                    <w:bidi w:val="0"/>
                    <w:spacing w:lineRule="auto" w:line="288" w:before="0" w:after="0"/>
                    <w:rPr>
                      <w:rFonts w:ascii="Times New Roman;serif" w:hAnsi="Times New Roman;serif"/>
                      <w:b/>
                      <w:i w:val="false"/>
                      <w:caps w:val="false"/>
                      <w:smallCaps w:val="false"/>
                      <w:strike w:val="false"/>
                      <w:dstrike w:val="false"/>
                      <w:color w:val="000000"/>
                      <w:sz w:val="24"/>
                      <w:u w:val="none"/>
                      <w:effect w:val="none"/>
                    </w:rPr>
                  </w:pPr>
                  <w:r>
                    <w:rPr>
                      <w:rFonts w:ascii="Times New Roman;serif" w:hAnsi="Times New Roman;serif"/>
                      <w:b/>
                      <w:i w:val="false"/>
                      <w:caps w:val="false"/>
                      <w:smallCaps w:val="false"/>
                      <w:strike w:val="false"/>
                      <w:dstrike w:val="false"/>
                      <w:color w:val="000000"/>
                      <w:sz w:val="24"/>
                      <w:u w:val="none"/>
                      <w:effect w:val="none"/>
                    </w:rPr>
                    <w:t>v. v. i., Zvolen</w:t>
                  </w:r>
                </w:p>
                <w:p>
                  <w:pPr>
                    <w:pStyle w:val="Obsahtabuky"/>
                    <w:bidi w:val="0"/>
                    <w:spacing w:lineRule="auto" w:line="288" w:before="0" w:after="0"/>
                    <w:rPr>
                      <w:rFonts w:ascii="Times New Roman;serif" w:hAnsi="Times New Roman;serif"/>
                      <w:b/>
                      <w:i w:val="false"/>
                      <w:caps w:val="false"/>
                      <w:smallCaps w:val="false"/>
                      <w:strike w:val="false"/>
                      <w:dstrike w:val="false"/>
                      <w:color w:val="000000"/>
                      <w:sz w:val="24"/>
                      <w:u w:val="none"/>
                      <w:effect w:val="none"/>
                    </w:rPr>
                  </w:pPr>
                  <w:r>
                    <w:rPr>
                      <w:rFonts w:ascii="Times New Roman;serif" w:hAnsi="Times New Roman;serif"/>
                      <w:b/>
                      <w:i w:val="false"/>
                      <w:caps w:val="false"/>
                      <w:smallCaps w:val="false"/>
                      <w:strike w:val="false"/>
                      <w:dstrike w:val="false"/>
                      <w:color w:val="000000"/>
                      <w:sz w:val="24"/>
                      <w:u w:val="none"/>
                      <w:effect w:val="none"/>
                    </w:rPr>
                    <w:t>o. z. Arborétum Mlyňany</w:t>
                  </w:r>
                </w:p>
              </w:tc>
            </w:tr>
          </w:tbl>
          <w:p>
            <w:pPr>
              <w:pStyle w:val="Obsahtabuky"/>
              <w:ind w:left="18" w:right="0" w:hanging="0"/>
              <w:rPr/>
            </w:pPr>
            <w:r>
              <w:rPr/>
            </w:r>
          </w:p>
        </w:tc>
        <w:tc>
          <w:tcPr>
            <w:tcW w:w="4231" w:type="dxa"/>
            <w:tcBorders/>
            <w:shd w:fill="auto" w:val="clear"/>
            <w:vAlign w:val="center"/>
          </w:tcPr>
          <w:p>
            <w:pPr>
              <w:pStyle w:val="Obsahtabuky"/>
              <w:spacing w:before="0" w:after="283"/>
              <w:rPr>
                <w:caps w:val="false"/>
                <w:smallCaps w:val="false"/>
                <w:strike w:val="false"/>
                <w:dstrike w:val="false"/>
                <w:color w:val="000000"/>
                <w:u w:val="none"/>
                <w:effect w:val="none"/>
              </w:rPr>
            </w:pPr>
            <w:r>
              <w:rPr/>
            </w:r>
          </w:p>
          <w:p>
            <w:pPr>
              <w:pStyle w:val="Obsahtabuky"/>
              <w:bidi w:val="0"/>
              <w:spacing w:lineRule="auto" w:line="288" w:before="0" w:after="0"/>
              <w:jc w:val="both"/>
              <w:rPr>
                <w:caps w:val="false"/>
                <w:smallCaps w:val="false"/>
                <w:strike w:val="false"/>
                <w:dstrike w:val="false"/>
                <w:color w:val="000000"/>
                <w:u w:val="none"/>
                <w:effect w:val="none"/>
              </w:rPr>
            </w:pPr>
            <w:r>
              <w:rPr>
                <w:caps w:val="false"/>
                <w:smallCaps w:val="false"/>
                <w:strike w:val="false"/>
                <w:dstrike w:val="false"/>
                <w:color w:val="000000"/>
                <w:u w:val="none"/>
                <w:effect w:val="none"/>
              </w:rPr>
              <w:t>    </w:t>
            </w:r>
            <w:r>
              <w:rPr>
                <w:rFonts w:ascii="Times New Roman;serif" w:hAnsi="Times New Roman;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Ing. Jana Konôpková, PhD.</w:t>
            </w:r>
          </w:p>
          <w:p>
            <w:pPr>
              <w:pStyle w:val="Obsahtabuky"/>
              <w:bidi w:val="0"/>
              <w:spacing w:lineRule="auto" w:line="288" w:before="0" w:after="0"/>
              <w:jc w:val="both"/>
              <w:rPr>
                <w:caps w:val="false"/>
                <w:smallCaps w:val="false"/>
                <w:strike w:val="false"/>
                <w:dstrike w:val="false"/>
                <w:color w:val="000000"/>
                <w:u w:val="none"/>
                <w:effect w:val="none"/>
              </w:rPr>
            </w:pPr>
            <w:r>
              <w:rPr>
                <w:caps w:val="false"/>
                <w:smallCaps w:val="false"/>
                <w:strike w:val="false"/>
                <w:dstrike w:val="false"/>
                <w:color w:val="000000"/>
                <w:u w:val="none"/>
                <w:effect w:val="none"/>
              </w:rPr>
              <w:t>    </w:t>
            </w:r>
            <w:r>
              <w:rPr>
                <w:rFonts w:ascii="Times New Roman;serif" w:hAnsi="Times New Roman;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vedúca o. z. Arborétum Mlyňany </w:t>
            </w:r>
          </w:p>
        </w:tc>
      </w:tr>
      <w:tr>
        <w:trPr/>
        <w:tc>
          <w:tcPr>
            <w:tcW w:w="5407" w:type="dxa"/>
            <w:vMerge w:val="continue"/>
            <w:tcBorders/>
            <w:shd w:fill="auto" w:val="clear"/>
            <w:vAlign w:val="center"/>
          </w:tcPr>
          <w:p>
            <w:pPr>
              <w:pStyle w:val="Obsahtabuky"/>
              <w:rPr>
                <w:sz w:val="4"/>
                <w:szCs w:val="4"/>
              </w:rPr>
            </w:pPr>
            <w:r>
              <w:rPr>
                <w:sz w:val="4"/>
                <w:szCs w:val="4"/>
              </w:rPr>
            </w:r>
          </w:p>
        </w:tc>
        <w:tc>
          <w:tcPr>
            <w:tcW w:w="4231" w:type="dxa"/>
            <w:tcBorders/>
            <w:shd w:fill="auto" w:val="clear"/>
            <w:vAlign w:val="center"/>
          </w:tcPr>
          <w:p>
            <w:pPr>
              <w:pStyle w:val="Obsahtabuky"/>
              <w:bidi w:val="0"/>
              <w:spacing w:lineRule="auto" w:line="288" w:before="0" w:after="0"/>
              <w:jc w:val="both"/>
              <w:rPr>
                <w:caps w:val="false"/>
                <w:smallCaps w:val="false"/>
                <w:strike w:val="false"/>
                <w:dstrike w:val="false"/>
                <w:color w:val="000000"/>
                <w:u w:val="none"/>
                <w:effect w:val="none"/>
              </w:rPr>
            </w:pPr>
            <w:r>
              <w:rPr>
                <w:caps w:val="false"/>
                <w:smallCaps w:val="false"/>
                <w:strike w:val="false"/>
                <w:dstrike w:val="false"/>
                <w:color w:val="000000"/>
                <w:u w:val="none"/>
                <w:effect w:val="none"/>
              </w:rPr>
              <w:t xml:space="preserve">    </w:t>
            </w:r>
            <w:r>
              <w:rPr>
                <w:rFonts w:ascii="Times New Roman;serif" w:hAnsi="Times New Roman;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951 52  Vieska nad Žitavou 178</w:t>
            </w:r>
          </w:p>
        </w:tc>
      </w:tr>
      <w:tr>
        <w:trPr/>
        <w:tc>
          <w:tcPr>
            <w:tcW w:w="9638" w:type="dxa"/>
            <w:gridSpan w:val="2"/>
            <w:tcBorders/>
            <w:shd w:fill="auto" w:val="clear"/>
            <w:vAlign w:val="center"/>
          </w:tcPr>
          <w:p>
            <w:pPr>
              <w:pStyle w:val="Obsahtabuky"/>
              <w:rPr/>
            </w:pPr>
            <w:r>
              <w:rPr/>
            </w:r>
          </w:p>
        </w:tc>
      </w:tr>
    </w:tbl>
    <w:p>
      <w:pPr>
        <w:pStyle w:val="Telotextu"/>
        <w:rPr/>
      </w:pPr>
      <w:r>
        <w:rPr/>
      </w:r>
    </w:p>
    <w:p>
      <w:pPr>
        <w:sectPr>
          <w:type w:val="continuous"/>
          <w:pgSz w:w="11906" w:h="16838"/>
          <w:pgMar w:left="1134" w:right="1134" w:header="0" w:top="1134" w:footer="0" w:bottom="1134" w:gutter="0"/>
          <w:formProt w:val="false"/>
          <w:textDirection w:val="lrTb"/>
          <w:docGrid w:type="default" w:linePitch="312" w:charSpace="4294961151"/>
        </w:sectPr>
      </w:pPr>
    </w:p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Times New Roman" w:hAnsi="Times New Roman"/>
          <w:b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OPONENTSKÝ POSUDOK NA DIZERTAČNÚ PRÁCU</w:t>
      </w:r>
    </w:p>
    <w:p>
      <w:pPr>
        <w:pStyle w:val="Normal"/>
        <w:jc w:val="center"/>
        <w:rPr>
          <w:rFonts w:ascii="Times New Roman" w:hAnsi="Times New Roman"/>
          <w:b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</w:r>
    </w:p>
    <w:p>
      <w:pPr>
        <w:pStyle w:val="Normal"/>
        <w:jc w:val="left"/>
        <w:rPr>
          <w:rFonts w:ascii="Times New Roman" w:hAnsi="Times New Roman"/>
          <w:b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</w:r>
    </w:p>
    <w:p>
      <w:pPr>
        <w:pStyle w:val="Normal"/>
        <w:jc w:val="left"/>
        <w:rPr>
          <w:rFonts w:ascii="Times New Roman" w:hAnsi="Times New Roman"/>
          <w:b w:val="false"/>
          <w:b w:val="false"/>
          <w:bCs w:val="false"/>
          <w:sz w:val="24"/>
          <w:szCs w:val="24"/>
        </w:rPr>
      </w:pPr>
      <w:r>
        <w:rPr>
          <w:rFonts w:ascii="Times New Roman" w:hAnsi="Times New Roman"/>
          <w:b w:val="false"/>
          <w:bCs w:val="false"/>
          <w:sz w:val="24"/>
          <w:szCs w:val="24"/>
        </w:rPr>
        <w:t xml:space="preserve">Autorka práce:        </w:t>
      </w:r>
      <w:r>
        <w:rPr>
          <w:rFonts w:ascii="Times New Roman" w:hAnsi="Times New Roman"/>
          <w:b/>
          <w:bCs/>
          <w:sz w:val="24"/>
          <w:szCs w:val="24"/>
        </w:rPr>
        <w:t>Ing. Jana Valíčková</w:t>
      </w:r>
    </w:p>
    <w:p>
      <w:pPr>
        <w:pStyle w:val="Normal"/>
        <w:jc w:val="left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</w:r>
    </w:p>
    <w:p>
      <w:pPr>
        <w:pStyle w:val="Normal"/>
        <w:jc w:val="left"/>
        <w:rPr/>
      </w:pPr>
      <w:r>
        <w:rPr>
          <w:rFonts w:ascii="Times New Roman" w:hAnsi="Times New Roman"/>
          <w:b w:val="false"/>
          <w:bCs w:val="false"/>
          <w:sz w:val="24"/>
          <w:szCs w:val="24"/>
        </w:rPr>
        <w:t>Vedúca práce:</w:t>
      </w:r>
      <w:r>
        <w:rPr>
          <w:rFonts w:ascii="Times New Roman" w:hAnsi="Times New Roman"/>
          <w:b/>
          <w:bCs/>
          <w:sz w:val="24"/>
          <w:szCs w:val="24"/>
        </w:rPr>
        <w:t xml:space="preserve">         </w:t>
      </w:r>
      <w:r>
        <w:rPr>
          <w:rFonts w:ascii="Arial-BoldMT" w:hAnsi="Arial-BoldMT"/>
          <w:b/>
          <w:color w:val="050304"/>
          <w:sz w:val="20"/>
        </w:rPr>
        <w:t xml:space="preserve">doc. PharmDr. Ing. Radka </w:t>
      </w:r>
      <w:r>
        <w:rPr>
          <w:rFonts w:ascii="Arial-BoldMT" w:hAnsi="Arial-BoldMT"/>
          <w:b/>
          <w:bCs/>
          <w:color w:val="050304"/>
          <w:sz w:val="20"/>
          <w:szCs w:val="24"/>
        </w:rPr>
        <w:t>Opat</w:t>
      </w:r>
      <w:r>
        <w:rPr>
          <w:rFonts w:ascii="Arial-BoldMT" w:hAnsi="Arial-BoldMT"/>
          <w:b/>
          <w:bCs/>
          <w:color w:val="050304"/>
          <w:sz w:val="20"/>
          <w:szCs w:val="24"/>
        </w:rPr>
        <w:t>ŕ</w:t>
      </w:r>
      <w:r>
        <w:rPr>
          <w:rFonts w:ascii="Arial-BoldMT" w:hAnsi="Arial-BoldMT"/>
          <w:b/>
          <w:bCs/>
          <w:color w:val="050304"/>
          <w:sz w:val="20"/>
          <w:szCs w:val="24"/>
        </w:rPr>
        <w:t>ilová, Ph.D.</w:t>
      </w:r>
    </w:p>
    <w:p>
      <w:pPr>
        <w:pStyle w:val="Normal"/>
        <w:jc w:val="left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</w:r>
    </w:p>
    <w:p>
      <w:pPr>
        <w:pStyle w:val="Normal"/>
        <w:jc w:val="left"/>
        <w:rPr/>
      </w:pPr>
      <w:r>
        <w:rPr>
          <w:rFonts w:ascii="Times New Roman" w:hAnsi="Times New Roman"/>
          <w:b w:val="false"/>
          <w:bCs w:val="false"/>
          <w:sz w:val="24"/>
          <w:szCs w:val="24"/>
        </w:rPr>
        <w:t>Študijný program:</w:t>
      </w:r>
      <w:r>
        <w:rPr>
          <w:rFonts w:ascii="Times New Roman" w:hAnsi="Times New Roman"/>
          <w:b/>
          <w:bCs/>
          <w:sz w:val="24"/>
          <w:szCs w:val="24"/>
        </w:rPr>
        <w:t xml:space="preserve">  </w:t>
      </w:r>
      <w:r>
        <w:rPr>
          <w:rFonts w:ascii="Times New Roman" w:hAnsi="Times New Roman"/>
          <w:b/>
          <w:bCs/>
          <w:color w:val="050304"/>
          <w:sz w:val="24"/>
          <w:szCs w:val="24"/>
        </w:rPr>
        <w:t xml:space="preserve">Chemie a technologie ochrany </w:t>
      </w:r>
      <w:r>
        <w:rPr>
          <w:rFonts w:ascii="Times New Roman" w:hAnsi="Times New Roman"/>
          <w:b/>
          <w:bCs/>
          <w:color w:val="050304"/>
          <w:sz w:val="24"/>
          <w:szCs w:val="24"/>
        </w:rPr>
        <w:t>životního prostředí</w:t>
      </w:r>
    </w:p>
    <w:p>
      <w:pPr>
        <w:pStyle w:val="Normal"/>
        <w:jc w:val="left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</w:r>
    </w:p>
    <w:p>
      <w:pPr>
        <w:pStyle w:val="Normal"/>
        <w:jc w:val="left"/>
        <w:rPr/>
      </w:pPr>
      <w:r>
        <w:rPr>
          <w:rFonts w:ascii="Times New Roman" w:hAnsi="Times New Roman"/>
          <w:b w:val="false"/>
          <w:bCs w:val="false"/>
          <w:sz w:val="24"/>
          <w:szCs w:val="24"/>
        </w:rPr>
        <w:t>Názov práce: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</w:t>
      </w:r>
      <w:r>
        <w:rPr>
          <w:rFonts w:ascii="Times New Roman" w:hAnsi="Times New Roman"/>
          <w:b/>
          <w:bCs/>
          <w:color w:val="050304"/>
          <w:sz w:val="24"/>
          <w:szCs w:val="24"/>
        </w:rPr>
        <w:t>STUDIUM VLIVU ROSTLINNÝCH ADAPTOGEN</w:t>
      </w:r>
      <w:r>
        <w:rPr>
          <w:rFonts w:ascii="Times New Roman" w:hAnsi="Times New Roman"/>
          <w:b/>
          <w:bCs/>
          <w:color w:val="050304"/>
          <w:sz w:val="24"/>
          <w:szCs w:val="24"/>
        </w:rPr>
        <w:t xml:space="preserve">Ù </w:t>
      </w:r>
      <w:r>
        <w:rPr>
          <w:rFonts w:ascii="Times New Roman" w:hAnsi="Times New Roman"/>
          <w:b/>
          <w:bCs/>
          <w:color w:val="050304"/>
          <w:sz w:val="24"/>
          <w:szCs w:val="24"/>
        </w:rPr>
        <w:t xml:space="preserve">NA </w:t>
      </w:r>
      <w:r>
        <w:rPr>
          <w:rFonts w:ascii="Times New Roman" w:hAnsi="Times New Roman"/>
          <w:b/>
          <w:bCs/>
          <w:color w:val="050304"/>
          <w:sz w:val="24"/>
          <w:szCs w:val="24"/>
        </w:rPr>
        <w:t>Ž</w:t>
      </w:r>
      <w:r>
        <w:rPr>
          <w:rFonts w:ascii="Times New Roman" w:hAnsi="Times New Roman"/>
          <w:b/>
          <w:bCs/>
          <w:color w:val="050304"/>
          <w:sz w:val="24"/>
          <w:szCs w:val="24"/>
        </w:rPr>
        <w:t xml:space="preserve">IVOTNÍ   </w:t>
      </w:r>
    </w:p>
    <w:p>
      <w:pPr>
        <w:pStyle w:val="Normal"/>
        <w:jc w:val="left"/>
        <w:rPr>
          <w:b/>
          <w:b/>
          <w:bCs/>
        </w:rPr>
      </w:pPr>
      <w:r>
        <w:rPr>
          <w:rFonts w:ascii="Times New Roman" w:hAnsi="Times New Roman"/>
          <w:b/>
          <w:bCs/>
          <w:color w:val="050304"/>
          <w:sz w:val="24"/>
          <w:szCs w:val="24"/>
        </w:rPr>
        <w:t xml:space="preserve">                                </w:t>
      </w:r>
      <w:r>
        <w:rPr>
          <w:rFonts w:ascii="Times New Roman" w:hAnsi="Times New Roman"/>
          <w:b/>
          <w:bCs/>
          <w:color w:val="050304"/>
          <w:sz w:val="24"/>
          <w:szCs w:val="24"/>
        </w:rPr>
        <w:t>PROST</w:t>
      </w:r>
      <w:r>
        <w:rPr>
          <w:rFonts w:ascii="Times New Roman" w:hAnsi="Times New Roman"/>
          <w:b/>
          <w:bCs/>
          <w:color w:val="050304"/>
          <w:sz w:val="24"/>
          <w:szCs w:val="24"/>
        </w:rPr>
        <w:t>Ř</w:t>
      </w:r>
      <w:r>
        <w:rPr>
          <w:rFonts w:ascii="Times New Roman" w:hAnsi="Times New Roman"/>
          <w:b/>
          <w:bCs/>
          <w:color w:val="050304"/>
          <w:sz w:val="24"/>
          <w:szCs w:val="24"/>
        </w:rPr>
        <w:t>EDÍ</w:t>
      </w:r>
    </w:p>
    <w:p>
      <w:pPr>
        <w:pStyle w:val="Normal"/>
        <w:jc w:val="left"/>
        <w:rPr>
          <w:rFonts w:ascii="Times New Roman" w:hAnsi="Times New Roman"/>
          <w:color w:val="050304"/>
          <w:sz w:val="24"/>
          <w:szCs w:val="24"/>
        </w:rPr>
      </w:pPr>
      <w:r>
        <w:rPr>
          <w:b/>
          <w:bCs/>
        </w:rPr>
      </w:r>
    </w:p>
    <w:p>
      <w:pPr>
        <w:pStyle w:val="Normal"/>
        <w:jc w:val="left"/>
        <w:rPr>
          <w:rFonts w:ascii="Times New Roman" w:hAnsi="Times New Roman"/>
          <w:color w:val="050304"/>
          <w:sz w:val="24"/>
          <w:szCs w:val="24"/>
        </w:rPr>
      </w:pPr>
      <w:r>
        <w:rPr>
          <w:b/>
          <w:bCs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Aktuálnosť zvolenej témy</w:t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Rastlinnými adaptogénmi sa vedecká komunita začala zaoberať zhruba od polovice 20. storočia aj keď blahodárny vplyv  a liečivé účinky mnohých rastlín na ľudský organizmus, ktoré dnes zaraďujeme medzi adaptogény boli známe a využívané už v starej čínskej medicíne. Záujem o využitie látok prírodného charakteru pri riešení zdravotných problémov a diskonfortu  vyvolanom čoraz častejším a intenzívnejším pôsobením stresorov na ľudský organizmus stále narastá. Je to najmä vďaka tomu, že okrem priaznivých zdravotných účinkov majú rastlinné adaptogény, pri správnom užívaní minimálne riziko vedľajších účinkov. V práci je uvedený prehľad   rastlín, majúcich pozitívny vplyv na zdravie a v zmysle platnej legislatívy aj maximálne odporúčané denné dávky pri ich užívaní. Detailne sa autorka venuje </w:t>
      </w:r>
      <w:r>
        <w:rPr>
          <w:rFonts w:ascii="Times New Roman" w:hAnsi="Times New Roman"/>
          <w:i/>
          <w:iCs/>
          <w:sz w:val="24"/>
          <w:szCs w:val="24"/>
        </w:rPr>
        <w:t>Schi</w:t>
      </w:r>
      <w:r>
        <w:rPr>
          <w:rFonts w:ascii="Times New Roman" w:hAnsi="Times New Roman"/>
          <w:i/>
          <w:iCs/>
          <w:sz w:val="24"/>
          <w:szCs w:val="24"/>
        </w:rPr>
        <w:t>s</w:t>
      </w:r>
      <w:r>
        <w:rPr>
          <w:rFonts w:ascii="Times New Roman" w:hAnsi="Times New Roman"/>
          <w:i/>
          <w:iCs/>
          <w:sz w:val="24"/>
          <w:szCs w:val="24"/>
        </w:rPr>
        <w:t>andre chinensis</w:t>
      </w:r>
      <w:r>
        <w:rPr>
          <w:rFonts w:ascii="Times New Roman" w:hAnsi="Times New Roman"/>
          <w:sz w:val="24"/>
          <w:szCs w:val="24"/>
        </w:rPr>
        <w:t xml:space="preserve"> (</w:t>
      </w:r>
      <w:r>
        <w:rPr>
          <w:rFonts w:ascii="Times New Roman" w:hAnsi="Times New Roman"/>
          <w:sz w:val="24"/>
          <w:szCs w:val="24"/>
        </w:rPr>
        <w:t xml:space="preserve">Schizandre čínskej, </w:t>
      </w:r>
      <w:r>
        <w:rPr>
          <w:rFonts w:ascii="Times New Roman" w:hAnsi="Times New Roman"/>
          <w:sz w:val="24"/>
          <w:szCs w:val="24"/>
        </w:rPr>
        <w:t xml:space="preserve">klanopraške čínskej), ktorá patrí </w:t>
      </w:r>
      <w:r>
        <w:rPr>
          <w:rFonts w:ascii="Times New Roman" w:hAnsi="Times New Roman"/>
          <w:sz w:val="24"/>
          <w:szCs w:val="24"/>
        </w:rPr>
        <w:t>medzi</w:t>
      </w:r>
      <w:r>
        <w:rPr>
          <w:rFonts w:ascii="Times New Roman" w:hAnsi="Times New Roman"/>
          <w:sz w:val="24"/>
          <w:szCs w:val="24"/>
        </w:rPr>
        <w:t xml:space="preserve"> 50 základných najdôležitejších bylín v čínskej medicíne. Známy je jej blahodárny vplyv na množstvo civilizačných ochorení ako je napr. diabetes mellitus,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obezita, hyperlipidémia, rakovina, ochorenie pečene, srdcovo cievne choroby, bakteriálne a vírusové ochorenia, zápaly, liečba neplodnosti a tiež stresová záťaž.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Za pozitívne účinky tejto kultúrnej a esteticky zaujímavej rastliny na zdravie  sú zodpovedné sekundárne metabolity najmä lignány, ktorých bolo z plodov </w:t>
      </w:r>
      <w:r>
        <w:rPr>
          <w:rFonts w:ascii="Times New Roman" w:hAnsi="Times New Roman"/>
          <w:i/>
          <w:iCs/>
          <w:sz w:val="24"/>
          <w:szCs w:val="24"/>
        </w:rPr>
        <w:t>S. chinensis</w:t>
      </w:r>
      <w:r>
        <w:rPr>
          <w:rFonts w:ascii="Times New Roman" w:hAnsi="Times New Roman"/>
          <w:sz w:val="24"/>
          <w:szCs w:val="24"/>
        </w:rPr>
        <w:t xml:space="preserve"> izolovaných okolo 40 druhov, pričom za najdôležitejší sa považuje schizandrín.  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Známe sú aj alelopatické účinky lignánov. Prác zaoberajúcich sa účinkami </w:t>
      </w:r>
      <w:r>
        <w:rPr>
          <w:rFonts w:ascii="Times New Roman" w:hAnsi="Times New Roman"/>
          <w:i/>
          <w:iCs/>
          <w:sz w:val="24"/>
          <w:szCs w:val="24"/>
        </w:rPr>
        <w:t>S. chinensis</w:t>
      </w:r>
      <w:r>
        <w:rPr>
          <w:rFonts w:ascii="Times New Roman" w:hAnsi="Times New Roman"/>
          <w:sz w:val="24"/>
          <w:szCs w:val="24"/>
        </w:rPr>
        <w:t xml:space="preserve"> na zdavie  je pomerne mnoho, ale práce zamerané na  alelopatické vzťahy rastlín a štúdium ekotoxikologických rizík lignánov na životné prostredie sú zriedkavé. Keďže </w:t>
      </w:r>
      <w:r>
        <w:rPr>
          <w:rFonts w:ascii="Times New Roman" w:hAnsi="Times New Roman"/>
          <w:i/>
          <w:iCs/>
          <w:sz w:val="24"/>
          <w:szCs w:val="24"/>
        </w:rPr>
        <w:t>S. chinensis</w:t>
      </w:r>
      <w:r>
        <w:rPr>
          <w:rFonts w:ascii="Times New Roman" w:hAnsi="Times New Roman"/>
          <w:sz w:val="24"/>
          <w:szCs w:val="24"/>
        </w:rPr>
        <w:t xml:space="preserve"> má jeden z najvýznamnejších  adaptogénnych účinkov na ľudský  organizmus  a  podmienky pre  jej  pestovanie v našich  regiónoch  sú  tiež  optimálne,  je  dôležité  pre jej prípadné rozsiahlejšie rozšírenie  aj poznanie dopadov na  životné prostredie. </w:t>
      </w:r>
    </w:p>
    <w:p>
      <w:pPr>
        <w:pStyle w:val="Normal"/>
        <w:jc w:val="both"/>
        <w:rPr>
          <w:rFonts w:ascii="Times New Roman" w:hAnsi="Times New Roman"/>
          <w:b w:val="false"/>
          <w:b w:val="false"/>
          <w:bCs w:val="false"/>
          <w:sz w:val="24"/>
          <w:szCs w:val="24"/>
        </w:rPr>
      </w:pPr>
      <w:r>
        <w:rPr>
          <w:rFonts w:ascii="Times New Roman" w:hAnsi="Times New Roman"/>
          <w:b w:val="false"/>
          <w:bCs w:val="false"/>
          <w:color w:val="050304"/>
          <w:sz w:val="24"/>
          <w:szCs w:val="24"/>
        </w:rPr>
        <w:tab/>
        <w:t>S ohľadom na uvedené skutočnosti považujem tému dizertačnej práce za vhodne zvolenú a aktuálnu.</w:t>
      </w:r>
    </w:p>
    <w:p>
      <w:pPr>
        <w:pStyle w:val="Normal"/>
        <w:jc w:val="both"/>
        <w:rPr>
          <w:rFonts w:ascii="Times New Roman" w:hAnsi="Times New Roman"/>
          <w:b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Splnenie stanovených cieľov</w:t>
      </w:r>
    </w:p>
    <w:p>
      <w:pPr>
        <w:pStyle w:val="Normal"/>
        <w:rPr>
          <w:sz w:val="24"/>
        </w:rPr>
      </w:pPr>
      <w:r>
        <w:rPr>
          <w:rFonts w:ascii="Times New Roman" w:hAnsi="Times New Roman"/>
        </w:rPr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</w:rPr>
        <w:t xml:space="preserve">Cieľom dizertačnej práce bolo vyhodnotiť možné ekologické riziká vodného extraktu z plodov </w:t>
      </w:r>
      <w:r>
        <w:rPr>
          <w:rFonts w:ascii="Times New Roman" w:hAnsi="Times New Roman"/>
          <w:i/>
          <w:iCs/>
          <w:sz w:val="24"/>
        </w:rPr>
        <w:t>Schi</w:t>
      </w:r>
      <w:r>
        <w:rPr>
          <w:rFonts w:ascii="Times New Roman" w:hAnsi="Times New Roman"/>
          <w:i/>
          <w:iCs/>
          <w:sz w:val="24"/>
        </w:rPr>
        <w:t>s</w:t>
      </w:r>
      <w:r>
        <w:rPr>
          <w:rFonts w:ascii="Times New Roman" w:hAnsi="Times New Roman"/>
          <w:i/>
          <w:iCs/>
          <w:sz w:val="24"/>
        </w:rPr>
        <w:t>andra chinensis</w:t>
      </w:r>
      <w:r>
        <w:rPr>
          <w:rFonts w:ascii="Times New Roman" w:hAnsi="Times New Roman"/>
          <w:sz w:val="24"/>
        </w:rPr>
        <w:t xml:space="preserve"> na týchto vybraných modelových organizmoch: </w:t>
      </w:r>
      <w:r>
        <w:rPr>
          <w:rFonts w:ascii="Times New Roman" w:hAnsi="Times New Roman"/>
          <w:i/>
          <w:sz w:val="24"/>
        </w:rPr>
        <w:t>Lemna minor</w:t>
      </w:r>
      <w:r>
        <w:rPr>
          <w:rFonts w:ascii="Times New Roman" w:hAnsi="Times New Roman"/>
          <w:sz w:val="24"/>
        </w:rPr>
        <w:t xml:space="preserve">, </w:t>
      </w:r>
      <w:r>
        <w:rPr>
          <w:rFonts w:ascii="Times New Roman" w:hAnsi="Times New Roman"/>
          <w:i/>
          <w:sz w:val="24"/>
        </w:rPr>
        <w:t xml:space="preserve">Daphnia </w:t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  <w:i/>
          <w:sz w:val="24"/>
        </w:rPr>
        <w:t>magna</w:t>
      </w:r>
      <w:r>
        <w:rPr>
          <w:rFonts w:ascii="Times New Roman" w:hAnsi="Times New Roman"/>
          <w:sz w:val="24"/>
        </w:rPr>
        <w:t xml:space="preserve">, </w:t>
      </w:r>
      <w:r>
        <w:rPr>
          <w:rFonts w:ascii="Times New Roman" w:hAnsi="Times New Roman"/>
          <w:i/>
          <w:sz w:val="24"/>
        </w:rPr>
        <w:t>Thamnocephalus platyurus</w:t>
      </w:r>
      <w:r>
        <w:rPr>
          <w:rFonts w:ascii="Times New Roman" w:hAnsi="Times New Roman"/>
          <w:sz w:val="24"/>
        </w:rPr>
        <w:t xml:space="preserve">, </w:t>
      </w:r>
      <w:r>
        <w:rPr>
          <w:rFonts w:ascii="Times New Roman" w:hAnsi="Times New Roman"/>
          <w:i/>
          <w:sz w:val="24"/>
        </w:rPr>
        <w:t>Panicum miliaceum</w:t>
      </w:r>
      <w:r>
        <w:rPr>
          <w:rFonts w:ascii="Times New Roman" w:hAnsi="Times New Roman"/>
          <w:sz w:val="24"/>
        </w:rPr>
        <w:t xml:space="preserve">, </w:t>
      </w:r>
      <w:r>
        <w:rPr>
          <w:rFonts w:ascii="Times New Roman" w:hAnsi="Times New Roman"/>
          <w:i/>
          <w:sz w:val="24"/>
        </w:rPr>
        <w:t>Sinapis alba</w:t>
      </w:r>
      <w:r>
        <w:rPr>
          <w:rFonts w:ascii="Times New Roman" w:hAnsi="Times New Roman"/>
          <w:sz w:val="24"/>
        </w:rPr>
        <w:t xml:space="preserve"> pomoc</w:t>
      </w:r>
      <w:r>
        <w:rPr>
          <w:rFonts w:ascii="Times New Roman" w:hAnsi="Times New Roman"/>
          <w:sz w:val="24"/>
        </w:rPr>
        <w:t>ou</w:t>
      </w:r>
      <w:r>
        <w:rPr>
          <w:rFonts w:ascii="Times New Roman" w:hAnsi="Times New Roman"/>
          <w:sz w:val="24"/>
        </w:rPr>
        <w:t xml:space="preserve"> ak</w:t>
      </w:r>
      <w:r>
        <w:rPr>
          <w:rFonts w:ascii="Times New Roman" w:hAnsi="Times New Roman"/>
          <w:sz w:val="24"/>
        </w:rPr>
        <w:t>ú</w:t>
      </w:r>
      <w:r>
        <w:rPr>
          <w:rFonts w:ascii="Times New Roman" w:hAnsi="Times New Roman"/>
          <w:sz w:val="24"/>
        </w:rPr>
        <w:t>tn</w:t>
      </w:r>
      <w:r>
        <w:rPr>
          <w:rFonts w:ascii="Times New Roman" w:hAnsi="Times New Roman"/>
          <w:sz w:val="24"/>
        </w:rPr>
        <w:t>y</w:t>
      </w:r>
      <w:r>
        <w:rPr>
          <w:rFonts w:ascii="Times New Roman" w:hAnsi="Times New Roman"/>
          <w:sz w:val="24"/>
        </w:rPr>
        <w:t>ch test</w:t>
      </w:r>
      <w:r>
        <w:rPr>
          <w:rFonts w:ascii="Times New Roman" w:hAnsi="Times New Roman"/>
          <w:sz w:val="24"/>
        </w:rPr>
        <w:t>ov</w:t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</w:rPr>
        <w:t xml:space="preserve">toxicity. </w:t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</w:rPr>
        <w:tab/>
        <w:t xml:space="preserve">Na základe zhodnotenia výsledkov práce, ako aj na základe preštudovania publikovaných príspevkov, ktoré sú prílohou dizertačnej práce, konštatujem, že  </w:t>
      </w:r>
      <w:r>
        <w:rPr>
          <w:rFonts w:ascii="Times New Roman" w:hAnsi="Times New Roman"/>
          <w:sz w:val="24"/>
        </w:rPr>
        <w:t xml:space="preserve">stanovený cieľ dizertačnej práce bol splnený. Práca tvorí tematicky aktuálne a obsahovo ucelené dielo s originálnymi </w:t>
      </w:r>
      <w:r>
        <w:rPr>
          <w:rFonts w:ascii="Times New Roman" w:hAnsi="Times New Roman"/>
          <w:sz w:val="24"/>
        </w:rPr>
        <w:t>výsledkami.</w:t>
      </w:r>
    </w:p>
    <w:p>
      <w:pPr>
        <w:pStyle w:val="Normal"/>
        <w:jc w:val="both"/>
        <w:rPr>
          <w:rFonts w:ascii="Times New Roman" w:hAnsi="Times New Roman"/>
          <w:b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Zvolené postupy pre dosiahnutie výsledkov dizertačnej práce</w:t>
      </w:r>
    </w:p>
    <w:p>
      <w:pPr>
        <w:pStyle w:val="Normal"/>
        <w:rPr>
          <w:b/>
          <w:b/>
          <w:bCs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Pri spracovávaní práce sa autorka podrobne venuje problematike adaptogénov, ich rozšíreniu v mnohých rastlinách. Spracovala to v teoretickej časti v kapitolách 2.1 a 2.2. Keďže modelovou  drevinou je </w:t>
      </w:r>
      <w:r>
        <w:rPr>
          <w:rFonts w:ascii="Times New Roman" w:hAnsi="Times New Roman"/>
          <w:i/>
          <w:iCs/>
          <w:sz w:val="24"/>
          <w:szCs w:val="24"/>
        </w:rPr>
        <w:t>S</w:t>
      </w:r>
      <w:r>
        <w:rPr>
          <w:rFonts w:ascii="Times New Roman" w:hAnsi="Times New Roman"/>
          <w:i/>
          <w:iCs/>
          <w:sz w:val="24"/>
          <w:szCs w:val="24"/>
        </w:rPr>
        <w:t>chisandra</w:t>
      </w:r>
      <w:r>
        <w:rPr>
          <w:rFonts w:ascii="Times New Roman" w:hAnsi="Times New Roman"/>
          <w:i/>
          <w:iCs/>
          <w:sz w:val="24"/>
          <w:szCs w:val="24"/>
        </w:rPr>
        <w:t>. chinensis</w:t>
      </w:r>
      <w:r>
        <w:rPr>
          <w:rFonts w:ascii="Times New Roman" w:hAnsi="Times New Roman"/>
          <w:sz w:val="24"/>
          <w:szCs w:val="24"/>
        </w:rPr>
        <w:t xml:space="preserve"> v ďalšej kapitole je detailne spracované jej taxonomické zatriedenie a dendrologické charakteristiky, vrátane areálu prirodzeného rozšírenia tejto rastliny, ako aj jej postupnej introdukcie do Európy. Autorka venuje tiež pozornosť využitiu sekundárnych metabolitov </w:t>
      </w:r>
      <w:r>
        <w:rPr>
          <w:rFonts w:ascii="Times New Roman" w:hAnsi="Times New Roman"/>
          <w:i/>
          <w:iCs/>
          <w:sz w:val="24"/>
          <w:szCs w:val="24"/>
        </w:rPr>
        <w:t>S. chinensis</w:t>
      </w:r>
      <w:r>
        <w:rPr>
          <w:rFonts w:ascii="Times New Roman" w:hAnsi="Times New Roman"/>
          <w:sz w:val="24"/>
          <w:szCs w:val="24"/>
        </w:rPr>
        <w:t xml:space="preserve">, či už pri liečení rôznych ochorení, alebo pri športe,  v kozmetickom a potravinárskom priemysle, ale aj na zdravie zvierat kapitola (2. 3.). V kapitolách 2. 4., 2. 5. a 2. 6. sú uvedené extrakčné metódy na získavanie bioaktívnych látok, metódy ich kvalitatívneho a kvantitatívneho stanovenia ako aj ekotoxikologické vlastnosti </w:t>
      </w:r>
      <w:r>
        <w:rPr>
          <w:rFonts w:ascii="Times New Roman" w:hAnsi="Times New Roman"/>
          <w:i/>
          <w:iCs/>
          <w:sz w:val="24"/>
          <w:szCs w:val="24"/>
        </w:rPr>
        <w:t>S. chinensis.</w:t>
      </w:r>
      <w:r>
        <w:rPr>
          <w:rFonts w:ascii="Times New Roman" w:hAnsi="Times New Roman"/>
          <w:sz w:val="24"/>
          <w:szCs w:val="24"/>
        </w:rPr>
        <w:t xml:space="preserve">  Akútne testy toxicity  a modelové organizmy autorka spracovala v kapitole 2. 7. Z môjho pohľadu by bolo však vhodnejšie vytvoriť samostatnú kapitolu „Metodika práce a metódy skúmania“, ktorá v práci chýba. Jej súčasťou by mali byť texty uvedené v kapitolách 2. 4., 2. 5. a 2. 7. Kapitolu 2. 6. by som navrhovala ponechať ako súčasť kapitoly 2. 3. 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Veľmi pozitívne však hodnotím široký záber pri výbere organizmov (</w:t>
      </w:r>
      <w:r>
        <w:rPr>
          <w:rFonts w:ascii="Times New Roman" w:hAnsi="Times New Roman"/>
          <w:i/>
          <w:sz w:val="24"/>
          <w:szCs w:val="24"/>
        </w:rPr>
        <w:t>Lemma minor, Daphnia magna, Thammocephalus platyurus, Panicum miliaceum, Sinapis alba</w:t>
      </w:r>
      <w:r>
        <w:rPr>
          <w:rFonts w:ascii="Times New Roman" w:hAnsi="Times New Roman"/>
          <w:sz w:val="24"/>
          <w:szCs w:val="24"/>
        </w:rPr>
        <w:t>)  na akútne testy toxicity, realizované v laboratórnych podmienkach. Dosiahnuté výsledky sú spracované vhodnými štatistickými metódami a následne publikované.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Z teoretického hľadiska autorka vypracovala slušný literárny prehľad o stave riešenej problematiky – 202 relevantných zdrojov, z ktorých je viac ako 20% z posledných piatich rokov, čím preukázala dobrú orientáciu v danej problematike. Dizertačná práca je spracovaná s využitím štandardných metód vedeckej práce a bežne používaných analytických metód.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Dosiahnuté výsledky boli publikované v časopisoch evidovaných v databáze WoS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z w:val="24"/>
          <w:szCs w:val="24"/>
        </w:rPr>
        <w:t xml:space="preserve"> Q1(Aquatic Toxicology – IF: 4.1, </w:t>
      </w:r>
      <w:r>
        <w:rPr>
          <w:rFonts w:ascii="Times New Roman" w:hAnsi="Times New Roman"/>
          <w:sz w:val="24"/>
          <w:szCs w:val="24"/>
        </w:rPr>
        <w:t>Environmental Science and Pollution Research</w:t>
      </w:r>
      <w:r>
        <w:rPr>
          <w:rFonts w:ascii="Times New Roman" w:hAnsi="Times New Roman"/>
          <w:sz w:val="24"/>
          <w:szCs w:val="24"/>
        </w:rPr>
        <w:t xml:space="preserve">), jedna práca je zaslaná do časopisu Water, Air &amp; </w:t>
      </w:r>
      <w:r>
        <w:rPr>
          <w:rFonts w:ascii="Times New Roman" w:hAnsi="Times New Roman"/>
          <w:bCs/>
          <w:sz w:val="24"/>
          <w:szCs w:val="24"/>
        </w:rPr>
        <w:t xml:space="preserve">Soil Pollution (WoS, Q1, IF: 3.8), </w:t>
      </w:r>
      <w:r>
        <w:rPr>
          <w:rFonts w:ascii="Times New Roman" w:hAnsi="Times New Roman"/>
          <w:bCs/>
          <w:sz w:val="24"/>
          <w:szCs w:val="24"/>
        </w:rPr>
        <w:t xml:space="preserve">pričom vo všetkých publikáciách je </w:t>
      </w:r>
      <w:r>
        <w:rPr>
          <w:rFonts w:ascii="Times New Roman" w:hAnsi="Times New Roman"/>
          <w:bCs/>
          <w:sz w:val="24"/>
          <w:szCs w:val="24"/>
        </w:rPr>
        <w:t>doktorandka</w:t>
      </w:r>
      <w:r>
        <w:rPr>
          <w:rFonts w:ascii="Times New Roman" w:hAnsi="Times New Roman"/>
          <w:bCs/>
          <w:sz w:val="24"/>
          <w:szCs w:val="24"/>
        </w:rPr>
        <w:t xml:space="preserve"> hlavnou autorkou.</w:t>
      </w:r>
      <w:r>
        <w:rPr>
          <w:rFonts w:ascii="Times New Roman" w:hAnsi="Times New Roman"/>
          <w:bCs/>
          <w:sz w:val="24"/>
          <w:szCs w:val="24"/>
        </w:rPr>
        <w:t xml:space="preserve"> Okrem toho prezentovala svoje výsledky aj na vedeckých konferenciách. Publikačnú aktivitu považujem za dostatočnú pre udelenie doktorského titulu.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  <w:t>V</w:t>
      </w:r>
      <w:r>
        <w:rPr>
          <w:rFonts w:ascii="Times New Roman" w:hAnsi="Times New Roman"/>
          <w:bCs/>
          <w:sz w:val="24"/>
          <w:szCs w:val="24"/>
        </w:rPr>
        <w:t> závere práce</w:t>
        <w:tab/>
        <w:t xml:space="preserve"> </w:t>
      </w:r>
      <w:r>
        <w:rPr>
          <w:rFonts w:ascii="Times New Roman" w:hAnsi="Times New Roman"/>
          <w:bCs/>
          <w:sz w:val="24"/>
          <w:szCs w:val="24"/>
        </w:rPr>
        <w:t>mi však chýba r</w:t>
      </w:r>
      <w:r>
        <w:rPr>
          <w:rFonts w:ascii="Times New Roman" w:hAnsi="Times New Roman"/>
          <w:bCs/>
          <w:sz w:val="24"/>
          <w:szCs w:val="24"/>
        </w:rPr>
        <w:t>ozsiahlejšia diskusia k dosiahnutým výsledkom s uvedením nových poznatkov a podrobnejších návrhov na ďalšie  pokračovanie práce, prípadne ich využitie v praxi</w:t>
      </w:r>
      <w:bookmarkStart w:id="0" w:name="_GoBack"/>
      <w:bookmarkEnd w:id="0"/>
      <w:r>
        <w:rPr>
          <w:rFonts w:ascii="Times New Roman" w:hAnsi="Times New Roman"/>
          <w:bCs/>
          <w:sz w:val="24"/>
          <w:szCs w:val="24"/>
        </w:rPr>
        <w:t>.</w:t>
      </w:r>
    </w:p>
    <w:p>
      <w:pPr>
        <w:pStyle w:val="Normal"/>
        <w:rPr>
          <w:b/>
          <w:b/>
          <w:bCs/>
        </w:rPr>
      </w:pPr>
      <w:r>
        <w:rPr>
          <w:rFonts w:ascii="Times New Roman" w:hAnsi="Times New Roman"/>
        </w:rPr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Význam pre prax, alebo pre rozvoj vedného odboru</w:t>
      </w:r>
    </w:p>
    <w:p>
      <w:pPr>
        <w:pStyle w:val="Normal"/>
        <w:rPr>
          <w:b/>
          <w:b/>
          <w:bCs/>
        </w:rPr>
      </w:pPr>
      <w:r>
        <w:rPr>
          <w:rFonts w:ascii="Times New Roman" w:hAnsi="Times New Roman"/>
        </w:rPr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Pôvodné výsledky práce zhrnula doktorandka v samotnom závere práce na str. 65 – 66. Po ich preštudovaní som dospela k záveru, že medzi hlavné prínosy práce patrí:</w:t>
      </w:r>
    </w:p>
    <w:p>
      <w:pPr>
        <w:pStyle w:val="Normal"/>
        <w:numPr>
          <w:ilvl w:val="0"/>
          <w:numId w:val="1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detailné spracovanie adaptogénnych účinkov klanoprašky čínskej (</w:t>
      </w:r>
      <w:r>
        <w:rPr>
          <w:rFonts w:ascii="Times New Roman" w:hAnsi="Times New Roman"/>
          <w:i/>
          <w:iCs/>
        </w:rPr>
        <w:t>S. chinensis</w:t>
      </w:r>
      <w:r>
        <w:rPr>
          <w:rFonts w:ascii="Times New Roman" w:hAnsi="Times New Roman"/>
        </w:rPr>
        <w:t xml:space="preserve">), ktorých nositeľmi sú sekundárne metabolity predovšetkým lignány, </w:t>
      </w:r>
    </w:p>
    <w:p>
      <w:pPr>
        <w:pStyle w:val="Normal"/>
        <w:numPr>
          <w:ilvl w:val="0"/>
          <w:numId w:val="1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determinácia s ohľadom na zdravotné účinky,   najvýznamnejšieho lignánu schizandrínu,   nachádzajúceho sa najmä v plodoch sledovanej rastliny,</w:t>
      </w:r>
    </w:p>
    <w:p>
      <w:pPr>
        <w:pStyle w:val="Normal"/>
        <w:numPr>
          <w:ilvl w:val="0"/>
          <w:numId w:val="1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zistenie alelopatických vlastností lignánov a ich možných negatívnych účinkov na organizmy v okolí,</w:t>
      </w:r>
    </w:p>
    <w:p>
      <w:pPr>
        <w:pStyle w:val="Normal"/>
        <w:numPr>
          <w:ilvl w:val="0"/>
          <w:numId w:val="1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realizácia akútnych testov toxicity na modelových organizmoch, ktoré poukázali na možné toxické účinky vodného extraktu z plodov </w:t>
      </w:r>
      <w:r>
        <w:rPr>
          <w:rFonts w:ascii="Times New Roman" w:hAnsi="Times New Roman"/>
          <w:i/>
        </w:rPr>
        <w:t>S.  chinensis</w:t>
      </w:r>
      <w:r>
        <w:rPr>
          <w:rFonts w:ascii="Times New Roman" w:hAnsi="Times New Roman"/>
        </w:rPr>
        <w:t xml:space="preserve">  pre vodné organizmy, ale aj niektoré</w:t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>
        <w:rPr>
          <w:rFonts w:ascii="Times New Roman" w:hAnsi="Times New Roman"/>
        </w:rPr>
        <w:t>jednoklíčne a dvojklíčne kultúrne plodiny,</w:t>
      </w:r>
    </w:p>
    <w:p>
      <w:pPr>
        <w:pStyle w:val="Normal"/>
        <w:numPr>
          <w:ilvl w:val="0"/>
          <w:numId w:val="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poznanie, že zvyšujúci sa záujem o túto rastlinu môže viesť k narušenie pôvodných ekosystémov,</w:t>
      </w:r>
    </w:p>
    <w:p>
      <w:pPr>
        <w:pStyle w:val="Normal"/>
        <w:numPr>
          <w:ilvl w:val="0"/>
          <w:numId w:val="3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poukázanie na nutnosť hľadania udržateľných zdrojov produkcie </w:t>
      </w:r>
      <w:r>
        <w:rPr>
          <w:rFonts w:ascii="Times New Roman" w:hAnsi="Times New Roman"/>
          <w:i/>
          <w:iCs/>
        </w:rPr>
        <w:t>S. chinensis</w:t>
      </w:r>
      <w:r>
        <w:rPr>
          <w:rFonts w:ascii="Times New Roman" w:hAnsi="Times New Roman"/>
        </w:rPr>
        <w:t xml:space="preserve">. </w:t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Na základe dosiahnutých výsledkov je možné konštatovať, že je potrebné venovať pozornosť ďalšiemu výskumu možných ekotoxikologických rizík </w:t>
      </w:r>
      <w:r>
        <w:rPr>
          <w:rFonts w:ascii="Times New Roman" w:hAnsi="Times New Roman"/>
          <w:i/>
          <w:iCs/>
        </w:rPr>
        <w:t>S. chinensis</w:t>
      </w:r>
      <w:r>
        <w:rPr>
          <w:rFonts w:ascii="Times New Roman" w:hAnsi="Times New Roman"/>
        </w:rPr>
        <w:t xml:space="preserve"> a tiež venovať pozornosť štúdiu vhodných metód jej rozmnožovania a pestovania, mimo areálu pôvodného rozšírenia.</w:t>
      </w:r>
    </w:p>
    <w:p>
      <w:pPr>
        <w:pStyle w:val="Normal"/>
        <w:jc w:val="both"/>
        <w:rPr>
          <w:rFonts w:ascii="Times New Roman" w:hAnsi="Times New Roman"/>
          <w:b w:val="false"/>
          <w:b w:val="false"/>
          <w:bCs w:val="false"/>
          <w:sz w:val="24"/>
          <w:szCs w:val="24"/>
        </w:rPr>
      </w:pPr>
      <w:r>
        <w:rPr>
          <w:rFonts w:ascii="Times New Roman" w:hAnsi="Times New Roman"/>
          <w:b w:val="false"/>
          <w:bCs w:val="false"/>
          <w:sz w:val="24"/>
          <w:szCs w:val="24"/>
        </w:rPr>
        <w:tab/>
        <w:t xml:space="preserve">Vhodne zvolená téma dizertačnej práce má preto potenciál ďalšieho rozvoja vedy a výskumu v danej oblasti, ale </w:t>
      </w:r>
      <w:r>
        <w:rPr>
          <w:rFonts w:ascii="Times New Roman" w:hAnsi="Times New Roman"/>
          <w:b w:val="false"/>
          <w:bCs w:val="false"/>
          <w:sz w:val="24"/>
          <w:szCs w:val="24"/>
        </w:rPr>
        <w:t>aj</w:t>
      </w:r>
      <w:r>
        <w:rPr>
          <w:rFonts w:ascii="Times New Roman" w:hAnsi="Times New Roman"/>
          <w:b w:val="false"/>
          <w:bCs w:val="false"/>
          <w:sz w:val="24"/>
          <w:szCs w:val="24"/>
        </w:rPr>
        <w:t xml:space="preserve"> interdisciplinárneho výskumu a získané výsledky môžu byť prínosom pre riešenie mnohých praktických problémov.</w:t>
      </w:r>
    </w:p>
    <w:p>
      <w:pPr>
        <w:pStyle w:val="Normal"/>
        <w:jc w:val="both"/>
        <w:rPr>
          <w:rFonts w:ascii="Times New Roman" w:hAnsi="Times New Roman"/>
          <w:b w:val="false"/>
          <w:b w:val="false"/>
          <w:bCs w:val="false"/>
          <w:sz w:val="24"/>
          <w:szCs w:val="24"/>
        </w:rPr>
      </w:pPr>
      <w:r>
        <w:rPr>
          <w:rFonts w:ascii="Times New Roman" w:hAnsi="Times New Roman"/>
          <w:b w:val="false"/>
          <w:bCs w:val="false"/>
          <w:sz w:val="24"/>
          <w:szCs w:val="24"/>
        </w:rPr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Formálna úprava dizertačnej práce a jej jazyková úroveň</w:t>
      </w:r>
    </w:p>
    <w:p>
      <w:pPr>
        <w:pStyle w:val="Normal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</w:r>
    </w:p>
    <w:p>
      <w:pPr>
        <w:pStyle w:val="Normal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  <w:t xml:space="preserve">Po formálnej stránke, z hľadiska členenia, rozsahu a vyváženosti </w:t>
      </w:r>
      <w:r>
        <w:rPr>
          <w:rFonts w:ascii="Times New Roman" w:hAnsi="Times New Roman"/>
          <w:b w:val="false"/>
          <w:bCs w:val="false"/>
        </w:rPr>
        <w:t>jednotlivých častí práce nemám pripomienky. Čo sa týka jazykovej stránky, hlavne štylistickej a gramatickej je možné práci vytknúť istú mieru preklepov a nesprávnych jazykových tvarov, ktoré však neznižujú odbornú úroveň práce. Tak isto spôsob dokumentácie vrátane grafov, tabuliek, obrázkov a vzorcov je na dobrej úrovni.</w:t>
      </w:r>
    </w:p>
    <w:p>
      <w:pPr>
        <w:pStyle w:val="Normal"/>
        <w:rPr>
          <w:b/>
          <w:b/>
          <w:bCs/>
        </w:rPr>
      </w:pPr>
      <w:r>
        <w:rPr>
          <w:rFonts w:ascii="Times New Roman" w:hAnsi="Times New Roman"/>
        </w:rPr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Otázky na autorku dizertačnej práce</w:t>
      </w:r>
    </w:p>
    <w:p>
      <w:pPr>
        <w:pStyle w:val="Normal"/>
        <w:rPr>
          <w:b/>
          <w:b/>
          <w:bCs/>
        </w:rPr>
      </w:pPr>
      <w:r>
        <w:rPr>
          <w:rFonts w:ascii="Times New Roman" w:hAnsi="Times New Roman"/>
        </w:rPr>
      </w:r>
    </w:p>
    <w:p>
      <w:pPr>
        <w:pStyle w:val="Normal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  <w:t xml:space="preserve">1. </w:t>
      </w:r>
      <w:r>
        <w:rPr>
          <w:rFonts w:ascii="Times New Roman" w:hAnsi="Times New Roman"/>
          <w:b w:val="false"/>
          <w:bCs w:val="false"/>
        </w:rPr>
        <w:t>Boli by podľa Vás vhodné aj iné spôsoby extrakcie schizandrínu ako Soxletova extrakcia ?</w:t>
      </w:r>
    </w:p>
    <w:p>
      <w:pPr>
        <w:pStyle w:val="Normal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</w:r>
    </w:p>
    <w:p>
      <w:pPr>
        <w:pStyle w:val="Normal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  <w:t xml:space="preserve">2. </w:t>
      </w:r>
      <w:r>
        <w:rPr>
          <w:rFonts w:ascii="Times New Roman" w:hAnsi="Times New Roman"/>
          <w:b w:val="false"/>
          <w:bCs w:val="false"/>
        </w:rPr>
        <w:t xml:space="preserve">Aký je Váš názor na prípadné využitie alelochemikálií z </w:t>
      </w:r>
      <w:r>
        <w:rPr>
          <w:rFonts w:ascii="Times New Roman" w:hAnsi="Times New Roman"/>
          <w:b w:val="false"/>
          <w:bCs w:val="false"/>
          <w:i/>
          <w:iCs/>
        </w:rPr>
        <w:t>S. chinensis</w:t>
      </w:r>
      <w:r>
        <w:rPr>
          <w:rFonts w:ascii="Times New Roman" w:hAnsi="Times New Roman"/>
          <w:b w:val="false"/>
          <w:bCs w:val="false"/>
        </w:rPr>
        <w:t xml:space="preserve"> na boj s inváznymi</w:t>
      </w:r>
    </w:p>
    <w:p>
      <w:pPr>
        <w:pStyle w:val="Normal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  <w:t xml:space="preserve">   </w:t>
      </w:r>
      <w:r>
        <w:rPr>
          <w:rFonts w:ascii="Times New Roman" w:hAnsi="Times New Roman"/>
          <w:b w:val="false"/>
          <w:bCs w:val="false"/>
        </w:rPr>
        <w:t>rastlinami?</w:t>
      </w:r>
    </w:p>
    <w:p>
      <w:pPr>
        <w:pStyle w:val="Normal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</w:r>
    </w:p>
    <w:p>
      <w:pPr>
        <w:pStyle w:val="Normal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  <w:t xml:space="preserve">3. Akým spôsobom, by bolo možné zabezpečiť dostatočnú produkciu </w:t>
      </w:r>
      <w:r>
        <w:rPr>
          <w:rFonts w:ascii="Times New Roman" w:hAnsi="Times New Roman"/>
          <w:b w:val="false"/>
          <w:bCs w:val="false"/>
          <w:i/>
          <w:iCs/>
        </w:rPr>
        <w:t xml:space="preserve">S. chinensis </w:t>
      </w:r>
      <w:r>
        <w:rPr>
          <w:rFonts w:ascii="Times New Roman" w:hAnsi="Times New Roman"/>
          <w:b w:val="false"/>
          <w:bCs w:val="false"/>
        </w:rPr>
        <w:t>bez</w:t>
      </w:r>
    </w:p>
    <w:p>
      <w:pPr>
        <w:pStyle w:val="Normal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  <w:t xml:space="preserve">   </w:t>
      </w:r>
      <w:r>
        <w:rPr>
          <w:rFonts w:ascii="Times New Roman" w:hAnsi="Times New Roman"/>
          <w:b w:val="false"/>
          <w:bCs w:val="false"/>
        </w:rPr>
        <w:t>závažnejšieho poškodzovania pôvodných porastov?</w:t>
      </w:r>
    </w:p>
    <w:p>
      <w:pPr>
        <w:pStyle w:val="Normal"/>
        <w:jc w:val="both"/>
        <w:rPr>
          <w:b/>
          <w:b/>
          <w:bCs/>
        </w:rPr>
      </w:pPr>
      <w:r>
        <w:rPr>
          <w:rFonts w:ascii="Times New Roman" w:hAnsi="Times New Roman"/>
        </w:rPr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Záver</w:t>
      </w:r>
    </w:p>
    <w:p>
      <w:pPr>
        <w:pStyle w:val="Normal"/>
        <w:rPr>
          <w:b/>
          <w:b/>
          <w:bCs/>
        </w:rPr>
      </w:pPr>
      <w:r>
        <w:rPr>
          <w:rFonts w:ascii="Times New Roman" w:hAnsi="Times New Roman"/>
        </w:rPr>
      </w:r>
    </w:p>
    <w:p>
      <w:pPr>
        <w:pStyle w:val="Normal"/>
        <w:jc w:val="both"/>
        <w:rPr>
          <w:rFonts w:ascii="Times New Roman" w:hAnsi="Times New Roman"/>
          <w:b w:val="false"/>
          <w:b w:val="false"/>
          <w:bCs w:val="false"/>
          <w:sz w:val="24"/>
          <w:szCs w:val="24"/>
        </w:rPr>
      </w:pPr>
      <w:r>
        <w:rPr>
          <w:rFonts w:ascii="Times New Roman" w:hAnsi="Times New Roman"/>
          <w:b w:val="false"/>
          <w:bCs w:val="false"/>
          <w:sz w:val="24"/>
          <w:szCs w:val="24"/>
        </w:rPr>
        <w:t xml:space="preserve">Dizertačná práca Ing. Jany VALÍČKOVEJ prináša nové poznatky o </w:t>
      </w:r>
      <w:r>
        <w:rPr>
          <w:rFonts w:ascii="Times New Roman" w:hAnsi="Times New Roman"/>
          <w:b w:val="false"/>
          <w:bCs w:val="false"/>
          <w:sz w:val="24"/>
          <w:szCs w:val="24"/>
        </w:rPr>
        <w:t>rastlinných</w:t>
      </w:r>
      <w:r>
        <w:rPr>
          <w:rFonts w:ascii="Times New Roman" w:hAnsi="Times New Roman"/>
          <w:b w:val="false"/>
          <w:bCs w:val="false"/>
          <w:sz w:val="24"/>
          <w:szCs w:val="24"/>
        </w:rPr>
        <w:t xml:space="preserve"> adaptogénoch a ich ekotoxických účinkoch na životné prostredie. Autorka touto prácou, spolu s pripojenými publikáciami </w:t>
      </w:r>
      <w:r>
        <w:rPr>
          <w:rFonts w:ascii="Times New Roman" w:hAnsi="Times New Roman"/>
          <w:b w:val="false"/>
          <w:bCs w:val="false"/>
          <w:sz w:val="24"/>
          <w:szCs w:val="24"/>
        </w:rPr>
        <w:t xml:space="preserve">dokázala schopnosť samostatne vedecky pracovať, prinášať nové poznatky a preto podľa môjho názoru predložená dizertačná práca ako celok spĺňa podmienky stanovené  v § 47 odst. 4 </w:t>
      </w:r>
      <w:bookmarkStart w:id="1" w:name="__DdeLink__444_3432552094"/>
      <w:r>
        <w:rPr>
          <w:rFonts w:ascii="Times New Roman" w:hAnsi="Times New Roman"/>
          <w:b w:val="false"/>
          <w:bCs w:val="false"/>
          <w:sz w:val="24"/>
          <w:szCs w:val="24"/>
        </w:rPr>
        <w:t>zákona č. 111/1998</w:t>
      </w:r>
      <w:bookmarkEnd w:id="1"/>
      <w:r>
        <w:rPr>
          <w:rFonts w:ascii="Times New Roman" w:hAnsi="Times New Roman"/>
          <w:b w:val="false"/>
          <w:bCs w:val="false"/>
          <w:sz w:val="24"/>
          <w:szCs w:val="24"/>
        </w:rPr>
        <w:t xml:space="preserve"> zb. o vysokých školách. Na základe týchto skutočností preto ODPORÚČAM dizertačnú prácu  </w:t>
      </w:r>
      <w:r>
        <w:rPr>
          <w:rFonts w:ascii="Times New Roman" w:hAnsi="Times New Roman"/>
          <w:b w:val="false"/>
          <w:bCs w:val="false"/>
          <w:sz w:val="24"/>
          <w:szCs w:val="24"/>
        </w:rPr>
        <w:t xml:space="preserve">Ing. Jany VALÍČKOVEJ </w:t>
      </w:r>
      <w:r>
        <w:rPr>
          <w:rFonts w:ascii="Times New Roman" w:hAnsi="Times New Roman"/>
          <w:b w:val="false"/>
          <w:bCs w:val="false"/>
          <w:sz w:val="24"/>
          <w:szCs w:val="24"/>
        </w:rPr>
        <w:t>prijať k obhajobe a po úspešnej obhajobe jej udeliť akademicko – vedecký titul „ Philosophiae Doctor“ - Ph.D.</w:t>
      </w:r>
    </w:p>
    <w:p>
      <w:pPr>
        <w:pStyle w:val="Normal"/>
        <w:jc w:val="both"/>
        <w:rPr>
          <w:rFonts w:ascii="Times New Roman" w:hAnsi="Times New Roman"/>
          <w:b w:val="false"/>
          <w:b w:val="false"/>
          <w:bCs w:val="false"/>
          <w:sz w:val="24"/>
          <w:szCs w:val="24"/>
        </w:rPr>
      </w:pPr>
      <w:r>
        <w:rPr>
          <w:rFonts w:ascii="Times New Roman" w:hAnsi="Times New Roman"/>
          <w:b w:val="false"/>
          <w:bCs w:val="false"/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b w:val="false"/>
          <w:b w:val="false"/>
          <w:bCs w:val="false"/>
          <w:sz w:val="24"/>
          <w:szCs w:val="24"/>
        </w:rPr>
      </w:pPr>
      <w:r>
        <w:rPr>
          <w:rFonts w:ascii="Times New Roman" w:hAnsi="Times New Roman"/>
          <w:b w:val="false"/>
          <w:bCs w:val="false"/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b w:val="false"/>
          <w:b w:val="false"/>
          <w:bCs w:val="false"/>
          <w:sz w:val="24"/>
          <w:szCs w:val="24"/>
        </w:rPr>
      </w:pPr>
      <w:r>
        <w:rPr>
          <w:rFonts w:ascii="Times New Roman" w:hAnsi="Times New Roman"/>
          <w:b w:val="false"/>
          <w:bCs w:val="false"/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b w:val="false"/>
          <w:b w:val="false"/>
          <w:bCs w:val="false"/>
          <w:sz w:val="24"/>
          <w:szCs w:val="24"/>
        </w:rPr>
      </w:pPr>
      <w:r>
        <w:rPr>
          <w:rFonts w:ascii="Times New Roman" w:hAnsi="Times New Roman"/>
          <w:b w:val="false"/>
          <w:bCs w:val="false"/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b w:val="false"/>
          <w:b w:val="false"/>
          <w:bCs w:val="false"/>
          <w:sz w:val="24"/>
          <w:szCs w:val="24"/>
        </w:rPr>
      </w:pPr>
      <w:r>
        <w:rPr>
          <w:rFonts w:ascii="Times New Roman" w:hAnsi="Times New Roman"/>
          <w:b w:val="false"/>
          <w:bCs w:val="false"/>
          <w:sz w:val="24"/>
          <w:szCs w:val="24"/>
        </w:rPr>
        <w:t>V Arboréte Mlyňany, 29. 11. 2024</w:t>
      </w:r>
    </w:p>
    <w:p>
      <w:pPr>
        <w:pStyle w:val="Normal"/>
        <w:jc w:val="both"/>
        <w:rPr>
          <w:rFonts w:ascii="Times New Roman" w:hAnsi="Times New Roman"/>
          <w:b w:val="false"/>
          <w:b w:val="false"/>
          <w:bCs w:val="false"/>
          <w:sz w:val="24"/>
          <w:szCs w:val="24"/>
        </w:rPr>
      </w:pPr>
      <w:r>
        <w:rPr>
          <w:rFonts w:ascii="Times New Roman" w:hAnsi="Times New Roman"/>
          <w:b w:val="false"/>
          <w:bCs w:val="false"/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b w:val="false"/>
          <w:b w:val="false"/>
          <w:bCs w:val="false"/>
          <w:sz w:val="24"/>
          <w:szCs w:val="24"/>
        </w:rPr>
      </w:pPr>
      <w:r>
        <w:rPr>
          <w:rFonts w:ascii="Times New Roman" w:hAnsi="Times New Roman"/>
          <w:b w:val="false"/>
          <w:bCs w:val="false"/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b w:val="false"/>
          <w:b w:val="false"/>
          <w:bCs w:val="false"/>
          <w:sz w:val="24"/>
          <w:szCs w:val="24"/>
        </w:rPr>
      </w:pPr>
      <w:r>
        <w:rPr>
          <w:rFonts w:ascii="Times New Roman" w:hAnsi="Times New Roman"/>
          <w:b w:val="false"/>
          <w:bCs w:val="false"/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b w:val="false"/>
          <w:b w:val="false"/>
          <w:bCs w:val="false"/>
          <w:sz w:val="24"/>
          <w:szCs w:val="24"/>
        </w:rPr>
      </w:pPr>
      <w:r>
        <w:rPr>
          <w:rFonts w:ascii="Times New Roman" w:hAnsi="Times New Roman"/>
          <w:b w:val="false"/>
          <w:bCs w:val="false"/>
          <w:sz w:val="24"/>
          <w:szCs w:val="24"/>
        </w:rPr>
        <w:t xml:space="preserve">                                                                                                               </w:t>
      </w:r>
      <w:r>
        <w:rPr>
          <w:rFonts w:ascii="Times New Roman" w:hAnsi="Times New Roman"/>
          <w:b w:val="false"/>
          <w:bCs w:val="false"/>
          <w:sz w:val="24"/>
          <w:szCs w:val="24"/>
        </w:rPr>
        <w:t>Ing. Jana Konôpková, PhD.</w:t>
      </w:r>
    </w:p>
    <w:sectPr>
      <w:type w:val="continuous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OpenSymbol">
    <w:altName w:val="Arial Unicode MS"/>
    <w:charset w:val="02"/>
    <w:family w:val="auto"/>
    <w:pitch w:val="default"/>
  </w:font>
  <w:font w:name="Liberation Sans">
    <w:altName w:val="Arial"/>
    <w:charset w:val="ee"/>
    <w:family w:val="swiss"/>
    <w:pitch w:val="variable"/>
  </w:font>
  <w:font w:name="Times New Roman">
    <w:altName w:val="serif"/>
    <w:charset w:val="ee"/>
    <w:family w:val="auto"/>
    <w:pitch w:val="default"/>
  </w:font>
  <w:font w:name="Times New Roman">
    <w:charset w:val="01"/>
    <w:family w:val="roman"/>
    <w:pitch w:val="variable"/>
  </w:font>
  <w:font w:name="Arial-BoldMT">
    <w:charset w:val="ee"/>
    <w:family w:val="roman"/>
    <w:pitch w:val="variable"/>
  </w:font>
  <w:font w:name="OpenSymbol">
    <w:altName w:val="Arial Unicode MS"/>
    <w:charset w:val="01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rFonts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  <w:rFonts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  <w:rFonts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rFonts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rFonts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rFonts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rFonts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rFonts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rFonts w:cs="OpenSymbol"/>
      </w:r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rFonts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  <w:rFonts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  <w:rFonts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rFonts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rFonts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rFonts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rFonts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rFonts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rFonts w:cs="OpenSymbol"/>
      </w:rPr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rFonts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  <w:rFonts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  <w:rFonts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rFonts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rFonts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rFonts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rFonts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rFonts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rFonts w:cs="OpenSymbo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232"/>
  <w:defaultTabStop w:val="720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sk-SK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NSimSun" w:cs="Arial"/>
      <w:color w:val="auto"/>
      <w:kern w:val="2"/>
      <w:sz w:val="24"/>
      <w:szCs w:val="24"/>
      <w:lang w:val="sk-SK" w:eastAsia="zh-CN" w:bidi="hi-IN"/>
    </w:rPr>
  </w:style>
  <w:style w:type="character" w:styleId="Odrky">
    <w:name w:val="Odrážky"/>
    <w:qFormat/>
    <w:rPr>
      <w:rFonts w:ascii="OpenSymbol" w:hAnsi="OpenSymbol" w:eastAsia="OpenSymbol" w:cs="OpenSymbol"/>
    </w:rPr>
  </w:style>
  <w:style w:type="character" w:styleId="ListLabel1">
    <w:name w:val="ListLabel 1"/>
    <w:qFormat/>
    <w:rPr>
      <w:rFonts w:cs="OpenSymbol"/>
    </w:rPr>
  </w:style>
  <w:style w:type="character" w:styleId="ListLabel2">
    <w:name w:val="ListLabel 2"/>
    <w:qFormat/>
    <w:rPr>
      <w:rFonts w:cs="OpenSymbol"/>
    </w:rPr>
  </w:style>
  <w:style w:type="character" w:styleId="ListLabel3">
    <w:name w:val="ListLabel 3"/>
    <w:qFormat/>
    <w:rPr>
      <w:rFonts w:cs="OpenSymbol"/>
    </w:rPr>
  </w:style>
  <w:style w:type="character" w:styleId="ListLabel4">
    <w:name w:val="ListLabel 4"/>
    <w:qFormat/>
    <w:rPr>
      <w:rFonts w:cs="OpenSymbol"/>
    </w:rPr>
  </w:style>
  <w:style w:type="character" w:styleId="ListLabel5">
    <w:name w:val="ListLabel 5"/>
    <w:qFormat/>
    <w:rPr>
      <w:rFonts w:cs="OpenSymbol"/>
    </w:rPr>
  </w:style>
  <w:style w:type="character" w:styleId="ListLabel6">
    <w:name w:val="ListLabel 6"/>
    <w:qFormat/>
    <w:rPr>
      <w:rFonts w:cs="OpenSymbol"/>
    </w:rPr>
  </w:style>
  <w:style w:type="character" w:styleId="ListLabel7">
    <w:name w:val="ListLabel 7"/>
    <w:qFormat/>
    <w:rPr>
      <w:rFonts w:cs="OpenSymbol"/>
    </w:rPr>
  </w:style>
  <w:style w:type="character" w:styleId="ListLabel8">
    <w:name w:val="ListLabel 8"/>
    <w:qFormat/>
    <w:rPr>
      <w:rFonts w:cs="OpenSymbol"/>
    </w:rPr>
  </w:style>
  <w:style w:type="character" w:styleId="ListLabel9">
    <w:name w:val="ListLabel 9"/>
    <w:qFormat/>
    <w:rPr>
      <w:rFonts w:cs="OpenSymbol"/>
    </w:rPr>
  </w:style>
  <w:style w:type="character" w:styleId="ListLabel19">
    <w:name w:val="ListLabel 19"/>
    <w:qFormat/>
    <w:rPr>
      <w:rFonts w:cs="OpenSymbol"/>
    </w:rPr>
  </w:style>
  <w:style w:type="character" w:styleId="ListLabel20">
    <w:name w:val="ListLabel 20"/>
    <w:qFormat/>
    <w:rPr>
      <w:rFonts w:cs="OpenSymbol"/>
    </w:rPr>
  </w:style>
  <w:style w:type="character" w:styleId="ListLabel21">
    <w:name w:val="ListLabel 21"/>
    <w:qFormat/>
    <w:rPr>
      <w:rFonts w:cs="OpenSymbol"/>
    </w:rPr>
  </w:style>
  <w:style w:type="character" w:styleId="ListLabel22">
    <w:name w:val="ListLabel 22"/>
    <w:qFormat/>
    <w:rPr>
      <w:rFonts w:cs="OpenSymbol"/>
    </w:rPr>
  </w:style>
  <w:style w:type="character" w:styleId="ListLabel23">
    <w:name w:val="ListLabel 23"/>
    <w:qFormat/>
    <w:rPr>
      <w:rFonts w:cs="OpenSymbol"/>
    </w:rPr>
  </w:style>
  <w:style w:type="character" w:styleId="ListLabel24">
    <w:name w:val="ListLabel 24"/>
    <w:qFormat/>
    <w:rPr>
      <w:rFonts w:cs="OpenSymbol"/>
    </w:rPr>
  </w:style>
  <w:style w:type="character" w:styleId="ListLabel25">
    <w:name w:val="ListLabel 25"/>
    <w:qFormat/>
    <w:rPr>
      <w:rFonts w:cs="OpenSymbol"/>
    </w:rPr>
  </w:style>
  <w:style w:type="character" w:styleId="ListLabel26">
    <w:name w:val="ListLabel 26"/>
    <w:qFormat/>
    <w:rPr>
      <w:rFonts w:cs="OpenSymbol"/>
    </w:rPr>
  </w:style>
  <w:style w:type="character" w:styleId="ListLabel27">
    <w:name w:val="ListLabel 27"/>
    <w:qFormat/>
    <w:rPr>
      <w:rFonts w:cs="OpenSymbol"/>
    </w:rPr>
  </w:style>
  <w:style w:type="character" w:styleId="ListLabel10">
    <w:name w:val="ListLabel 10"/>
    <w:qFormat/>
    <w:rPr>
      <w:rFonts w:cs="OpenSymbol"/>
    </w:rPr>
  </w:style>
  <w:style w:type="character" w:styleId="ListLabel11">
    <w:name w:val="ListLabel 11"/>
    <w:qFormat/>
    <w:rPr>
      <w:rFonts w:cs="OpenSymbol"/>
    </w:rPr>
  </w:style>
  <w:style w:type="character" w:styleId="ListLabel12">
    <w:name w:val="ListLabel 12"/>
    <w:qFormat/>
    <w:rPr>
      <w:rFonts w:cs="OpenSymbol"/>
    </w:rPr>
  </w:style>
  <w:style w:type="character" w:styleId="ListLabel13">
    <w:name w:val="ListLabel 13"/>
    <w:qFormat/>
    <w:rPr>
      <w:rFonts w:cs="OpenSymbol"/>
    </w:rPr>
  </w:style>
  <w:style w:type="character" w:styleId="ListLabel14">
    <w:name w:val="ListLabel 14"/>
    <w:qFormat/>
    <w:rPr>
      <w:rFonts w:cs="OpenSymbol"/>
    </w:rPr>
  </w:style>
  <w:style w:type="character" w:styleId="ListLabel15">
    <w:name w:val="ListLabel 15"/>
    <w:qFormat/>
    <w:rPr>
      <w:rFonts w:cs="OpenSymbol"/>
    </w:rPr>
  </w:style>
  <w:style w:type="character" w:styleId="ListLabel16">
    <w:name w:val="ListLabel 16"/>
    <w:qFormat/>
    <w:rPr>
      <w:rFonts w:cs="OpenSymbol"/>
    </w:rPr>
  </w:style>
  <w:style w:type="character" w:styleId="ListLabel17">
    <w:name w:val="ListLabel 17"/>
    <w:qFormat/>
    <w:rPr>
      <w:rFonts w:cs="OpenSymbol"/>
    </w:rPr>
  </w:style>
  <w:style w:type="character" w:styleId="ListLabel18">
    <w:name w:val="ListLabel 18"/>
    <w:qFormat/>
    <w:rPr>
      <w:rFonts w:cs="OpenSymbol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</TotalTime>
  <Application>LibreOffice/6.1.4.2$Windows_x86 LibreOffice_project/9d0f32d1f0b509096fd65e0d4bec26ddd1938fd3</Application>
  <Pages>3</Pages>
  <Words>1182</Words>
  <Characters>7406</Characters>
  <CharactersWithSpaces>8795</CharactersWithSpaces>
  <Paragraphs>54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2024-12-04T21:39:55Z</dcterms:created>
  <dc:creator>Jana Konôpková</dc:creator>
  <dc:description/>
  <dc:language>sk-SK</dc:language>
  <cp:lastModifiedBy>Jana Konôpková</cp:lastModifiedBy>
  <dcterms:modified xsi:type="dcterms:W3CDTF">2024-12-05T02:44:49Z</dcterms:modified>
  <cp:revision>2</cp:revision>
  <dc:subject/>
  <dc:title/>
</cp:coreProperties>
</file>